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01" w:rsidRPr="001326AB" w:rsidRDefault="00BB1E01" w:rsidP="002B528E">
      <w:pPr>
        <w:jc w:val="center"/>
        <w:rPr>
          <w:b/>
          <w:sz w:val="24"/>
          <w:szCs w:val="24"/>
        </w:rPr>
      </w:pPr>
      <w:r w:rsidRPr="001326AB">
        <w:rPr>
          <w:b/>
          <w:sz w:val="24"/>
          <w:szCs w:val="24"/>
        </w:rPr>
        <w:t>Global Temperature Visualization Data</w:t>
      </w:r>
    </w:p>
    <w:p w:rsidR="00BB1E01" w:rsidRPr="00FA6325" w:rsidRDefault="00BB1E01" w:rsidP="00BB1E01">
      <w:pPr>
        <w:rPr>
          <w:b/>
        </w:rPr>
      </w:pPr>
      <w:r w:rsidRPr="00FA6325">
        <w:rPr>
          <w:b/>
        </w:rPr>
        <w:t>Introduction:</w:t>
      </w:r>
    </w:p>
    <w:p w:rsidR="00EE2588" w:rsidRDefault="001E4D19" w:rsidP="00BB1E01">
      <w:pPr>
        <w:rPr>
          <w:sz w:val="20"/>
          <w:szCs w:val="20"/>
        </w:rPr>
      </w:pPr>
      <w:r>
        <w:rPr>
          <w:sz w:val="20"/>
          <w:szCs w:val="20"/>
        </w:rPr>
        <w:t xml:space="preserve">The ECH20 junior </w:t>
      </w:r>
      <w:r w:rsidR="00BB1E01" w:rsidRPr="001326AB">
        <w:rPr>
          <w:sz w:val="20"/>
          <w:szCs w:val="20"/>
        </w:rPr>
        <w:t xml:space="preserve">class has taken data from globe.gov and produced a compiled graph to visualize the temperatures in different parts of the world. </w:t>
      </w:r>
      <w:r>
        <w:rPr>
          <w:sz w:val="20"/>
          <w:szCs w:val="20"/>
        </w:rPr>
        <w:t>Trend lines were inserted</w:t>
      </w:r>
      <w:r w:rsidR="00BB1E01" w:rsidRPr="001326AB">
        <w:rPr>
          <w:sz w:val="20"/>
          <w:szCs w:val="20"/>
        </w:rPr>
        <w:t xml:space="preserve"> in order to observe the </w:t>
      </w:r>
      <w:r w:rsidR="009B28E2">
        <w:rPr>
          <w:sz w:val="20"/>
          <w:szCs w:val="20"/>
        </w:rPr>
        <w:t>message of the</w:t>
      </w:r>
      <w:r w:rsidR="00BB1E01" w:rsidRPr="001326AB">
        <w:rPr>
          <w:sz w:val="20"/>
          <w:szCs w:val="20"/>
        </w:rPr>
        <w:t xml:space="preserve"> readings for that particular area. Another </w:t>
      </w:r>
      <w:r w:rsidR="00D02BE7">
        <w:rPr>
          <w:sz w:val="20"/>
          <w:szCs w:val="20"/>
        </w:rPr>
        <w:t>significant</w:t>
      </w:r>
      <w:r w:rsidR="00BB1E01" w:rsidRPr="001326AB">
        <w:rPr>
          <w:sz w:val="20"/>
          <w:szCs w:val="20"/>
        </w:rPr>
        <w:t xml:space="preserve"> thing learned is the importance of dates lining up so </w:t>
      </w:r>
      <w:r w:rsidR="00531B0F">
        <w:rPr>
          <w:sz w:val="20"/>
          <w:szCs w:val="20"/>
        </w:rPr>
        <w:t xml:space="preserve">that </w:t>
      </w:r>
      <w:r w:rsidR="00FB683D">
        <w:rPr>
          <w:sz w:val="20"/>
          <w:szCs w:val="20"/>
        </w:rPr>
        <w:t xml:space="preserve">the data makes sense. As is </w:t>
      </w:r>
      <w:r w:rsidR="00BB1E01" w:rsidRPr="001326AB">
        <w:rPr>
          <w:sz w:val="20"/>
          <w:szCs w:val="20"/>
        </w:rPr>
        <w:t>observe</w:t>
      </w:r>
      <w:r w:rsidR="00FB683D">
        <w:rPr>
          <w:sz w:val="20"/>
          <w:szCs w:val="20"/>
        </w:rPr>
        <w:t>d</w:t>
      </w:r>
      <w:r w:rsidR="00BB1E01" w:rsidRPr="001326AB">
        <w:rPr>
          <w:sz w:val="20"/>
          <w:szCs w:val="20"/>
        </w:rPr>
        <w:t xml:space="preserve"> from the compiled graph, temperatures can vary significantly depending on where the location is on the globe, the trend lines help a lot to visualize it.</w:t>
      </w:r>
      <w:r w:rsidR="00531B0F">
        <w:rPr>
          <w:sz w:val="20"/>
          <w:szCs w:val="20"/>
        </w:rPr>
        <w:t xml:space="preserve"> For example Florida can hit colder</w:t>
      </w:r>
      <w:r w:rsidR="00BB1E01" w:rsidRPr="001326AB">
        <w:rPr>
          <w:sz w:val="20"/>
          <w:szCs w:val="20"/>
        </w:rPr>
        <w:t xml:space="preserve"> temperatur</w:t>
      </w:r>
      <w:r w:rsidR="00531B0F">
        <w:rPr>
          <w:sz w:val="20"/>
          <w:szCs w:val="20"/>
        </w:rPr>
        <w:t>es while New Zealand hits warmer</w:t>
      </w:r>
      <w:r w:rsidR="00BB1E01" w:rsidRPr="001326AB">
        <w:rPr>
          <w:sz w:val="20"/>
          <w:szCs w:val="20"/>
        </w:rPr>
        <w:t xml:space="preserve"> temperatures.</w:t>
      </w:r>
      <w:r w:rsidR="00FB683D">
        <w:rPr>
          <w:sz w:val="20"/>
          <w:szCs w:val="20"/>
        </w:rPr>
        <w:t xml:space="preserve"> </w:t>
      </w:r>
    </w:p>
    <w:p w:rsidR="00EE2588" w:rsidRDefault="001119D6" w:rsidP="00BB1E01">
      <w:pPr>
        <w:rPr>
          <w:sz w:val="20"/>
          <w:szCs w:val="20"/>
        </w:rPr>
      </w:pPr>
      <w:r w:rsidRPr="001119D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3328" cy="768545"/>
                <wp:effectExtent l="0" t="0" r="241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328" cy="7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D6" w:rsidRPr="001119D6" w:rsidRDefault="001119D6" w:rsidP="001119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19D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Data Key</w:t>
                            </w:r>
                          </w:p>
                          <w:p w:rsidR="001119D6" w:rsidRPr="001119D6" w:rsidRDefault="001119D6" w:rsidP="001119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19D6">
                              <w:rPr>
                                <w:sz w:val="18"/>
                                <w:szCs w:val="18"/>
                              </w:rPr>
                              <w:t>SA – Saudi Arabia</w:t>
                            </w:r>
                            <w:r w:rsidR="005B281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281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FL – Florida</w:t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>, U.S.A.</w:t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Temp – Temperature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2818">
                              <w:rPr>
                                <w:sz w:val="18"/>
                                <w:szCs w:val="18"/>
                              </w:rPr>
                              <w:tab/>
                              <w:t>N/M – No Measurement</w:t>
                            </w:r>
                          </w:p>
                          <w:p w:rsidR="001119D6" w:rsidRPr="001119D6" w:rsidRDefault="001119D6" w:rsidP="001119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19D6">
                              <w:rPr>
                                <w:sz w:val="18"/>
                                <w:szCs w:val="18"/>
                              </w:rPr>
                              <w:t>NZ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New Zealand</w:t>
                            </w:r>
                            <w:r w:rsidR="005B281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281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Celsius</w:t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B1E4E">
                              <w:rPr>
                                <w:sz w:val="18"/>
                                <w:szCs w:val="18"/>
                              </w:rPr>
                              <w:tab/>
                              <w:t>Benicia – Benicia, CA, U.S.A.</w:t>
                            </w:r>
                          </w:p>
                          <w:p w:rsidR="001119D6" w:rsidRPr="001119D6" w:rsidRDefault="001119D6" w:rsidP="001119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HNJQIAAEY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">
                <v:textbox>
                  <w:txbxContent>
                    <w:p w:rsidR="001119D6" w:rsidRPr="001119D6" w:rsidRDefault="001119D6" w:rsidP="001119D6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19D6">
                        <w:rPr>
                          <w:b/>
                          <w:sz w:val="18"/>
                          <w:szCs w:val="18"/>
                          <w:u w:val="single"/>
                        </w:rPr>
                        <w:t>Data Key</w:t>
                      </w:r>
                    </w:p>
                    <w:p w:rsidR="001119D6" w:rsidRPr="001119D6" w:rsidRDefault="001119D6" w:rsidP="001119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119D6">
                        <w:rPr>
                          <w:sz w:val="18"/>
                          <w:szCs w:val="18"/>
                        </w:rPr>
                        <w:t>SA – Saudi Arabia</w:t>
                      </w:r>
                      <w:r w:rsidR="005B2818">
                        <w:rPr>
                          <w:sz w:val="18"/>
                          <w:szCs w:val="18"/>
                        </w:rPr>
                        <w:tab/>
                      </w:r>
                      <w:r w:rsidR="005B281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FL – Florida</w:t>
                      </w:r>
                      <w:r w:rsidR="00BB1E4E">
                        <w:rPr>
                          <w:sz w:val="18"/>
                          <w:szCs w:val="18"/>
                        </w:rPr>
                        <w:t>, U.S.A.</w:t>
                      </w:r>
                      <w:r w:rsidR="00BB1E4E">
                        <w:rPr>
                          <w:sz w:val="18"/>
                          <w:szCs w:val="18"/>
                        </w:rPr>
                        <w:tab/>
                      </w:r>
                      <w:r w:rsidR="00BB1E4E">
                        <w:rPr>
                          <w:sz w:val="18"/>
                          <w:szCs w:val="18"/>
                        </w:rPr>
                        <w:tab/>
                        <w:t xml:space="preserve">Temp – Temperature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B2818">
                        <w:rPr>
                          <w:sz w:val="18"/>
                          <w:szCs w:val="18"/>
                        </w:rPr>
                        <w:tab/>
                        <w:t>N/M – No Measurement</w:t>
                      </w:r>
                    </w:p>
                    <w:p w:rsidR="001119D6" w:rsidRPr="001119D6" w:rsidRDefault="001119D6" w:rsidP="001119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119D6">
                        <w:rPr>
                          <w:sz w:val="18"/>
                          <w:szCs w:val="18"/>
                        </w:rPr>
                        <w:t>NZ</w:t>
                      </w:r>
                      <w:r>
                        <w:rPr>
                          <w:sz w:val="18"/>
                          <w:szCs w:val="18"/>
                        </w:rPr>
                        <w:t xml:space="preserve"> – New Zealand</w:t>
                      </w:r>
                      <w:r w:rsidR="005B2818">
                        <w:rPr>
                          <w:sz w:val="18"/>
                          <w:szCs w:val="18"/>
                        </w:rPr>
                        <w:tab/>
                      </w:r>
                      <w:r w:rsidR="005B281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C </w:t>
                      </w:r>
                      <w:r w:rsidR="00BB1E4E"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 Celsius</w:t>
                      </w:r>
                      <w:r w:rsidR="00BB1E4E">
                        <w:rPr>
                          <w:sz w:val="18"/>
                          <w:szCs w:val="18"/>
                        </w:rPr>
                        <w:tab/>
                      </w:r>
                      <w:r w:rsidR="00BB1E4E">
                        <w:rPr>
                          <w:sz w:val="18"/>
                          <w:szCs w:val="18"/>
                        </w:rPr>
                        <w:tab/>
                        <w:t>Benicia – Benicia, CA, U.S.A.</w:t>
                      </w:r>
                    </w:p>
                    <w:p w:rsidR="001119D6" w:rsidRPr="001119D6" w:rsidRDefault="001119D6" w:rsidP="001119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1E01" w:rsidRDefault="00FA6325" w:rsidP="00BB1E01">
      <w:r>
        <w:rPr>
          <w:noProof/>
        </w:rPr>
        <w:drawing>
          <wp:inline distT="0" distB="0" distL="0" distR="0" wp14:anchorId="5948D925" wp14:editId="5ABF5627">
            <wp:extent cx="6051550" cy="3429000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E01" w:rsidRPr="002162B5" w:rsidRDefault="00C64618" w:rsidP="00B24F42">
      <w:pPr>
        <w:jc w:val="center"/>
        <w:rPr>
          <w:b/>
        </w:rPr>
      </w:pPr>
      <w:r w:rsidRPr="002162B5">
        <w:rPr>
          <w:b/>
        </w:rPr>
        <w:t>Global Temperature Visualization Data Table</w:t>
      </w:r>
    </w:p>
    <w:tbl>
      <w:tblPr>
        <w:tblW w:w="8513" w:type="dxa"/>
        <w:jc w:val="center"/>
        <w:tblLook w:val="04A0" w:firstRow="1" w:lastRow="0" w:firstColumn="1" w:lastColumn="0" w:noHBand="0" w:noVBand="1"/>
      </w:tblPr>
      <w:tblGrid>
        <w:gridCol w:w="1243"/>
        <w:gridCol w:w="2242"/>
        <w:gridCol w:w="1689"/>
        <w:gridCol w:w="1706"/>
        <w:gridCol w:w="1633"/>
      </w:tblGrid>
      <w:tr w:rsidR="00CC0816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Benicia Temp C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 Temp 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NZ Temp C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FL Temp C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-6.6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15-Dec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31-Dec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-8.2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-14.4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-13.1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-13.9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-10.8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-18.4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-18.9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-10.7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-11.5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-13.7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-13.7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31-Jan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-13.3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1-Feb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2-Feb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3-Feb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  <w:tr w:rsidR="0059459A" w:rsidRPr="002162B5" w:rsidTr="0059459A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  <w:tr w:rsidR="0059459A" w:rsidRPr="002162B5" w:rsidTr="002578DD">
        <w:trPr>
          <w:trHeight w:val="216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5-Feb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  <w:tr w:rsidR="0059459A" w:rsidRPr="002162B5" w:rsidTr="002578DD">
        <w:trPr>
          <w:trHeight w:val="21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6-Feb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B5" w:rsidRPr="002162B5" w:rsidRDefault="002162B5" w:rsidP="0021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2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N/M</w:t>
            </w:r>
          </w:p>
        </w:tc>
      </w:tr>
    </w:tbl>
    <w:p w:rsidR="00C64618" w:rsidRDefault="00C64618" w:rsidP="00BB1E01"/>
    <w:p w:rsidR="006B58CA" w:rsidRDefault="006B58CA" w:rsidP="00BB1E01"/>
    <w:p w:rsidR="006B58CA" w:rsidRDefault="006B58CA" w:rsidP="00BB1E01"/>
    <w:p w:rsidR="006B58CA" w:rsidRPr="00B12607" w:rsidRDefault="006B58CA" w:rsidP="00BB1E01">
      <w:pPr>
        <w:rPr>
          <w:rFonts w:cs="Arial"/>
          <w:vertAlign w:val="subscript"/>
        </w:rPr>
      </w:pPr>
      <w:r>
        <w:rPr>
          <w:b/>
        </w:rPr>
        <w:lastRenderedPageBreak/>
        <w:t>Results Discussion:</w:t>
      </w:r>
      <w:r w:rsidR="0003505F">
        <w:rPr>
          <w:b/>
        </w:rPr>
        <w:t xml:space="preserve"> </w:t>
      </w:r>
      <w:r w:rsidR="00DB5BAA">
        <w:t>From the</w:t>
      </w:r>
      <w:r w:rsidR="0003505F">
        <w:t xml:space="preserve"> graph</w:t>
      </w:r>
      <w:r w:rsidR="00DB5BAA">
        <w:t xml:space="preserve"> </w:t>
      </w:r>
      <w:r w:rsidR="00277D84">
        <w:t>on the first page,</w:t>
      </w:r>
      <w:r w:rsidR="00482036">
        <w:t xml:space="preserve"> weather patterns on or possibly</w:t>
      </w:r>
      <w:r w:rsidR="00FF69A6">
        <w:t xml:space="preserve"> even around t</w:t>
      </w:r>
      <w:r w:rsidR="00A54329">
        <w:t>he given</w:t>
      </w:r>
      <w:r w:rsidR="00277D84">
        <w:t xml:space="preserve"> </w:t>
      </w:r>
      <w:r w:rsidR="00FF69A6">
        <w:t>location</w:t>
      </w:r>
      <w:r w:rsidR="00277D84">
        <w:t xml:space="preserve"> are predictable</w:t>
      </w:r>
      <w:r w:rsidR="00FF69A6">
        <w:t xml:space="preserve">. </w:t>
      </w:r>
      <w:r w:rsidR="0054373E">
        <w:t xml:space="preserve">An example is </w:t>
      </w:r>
      <w:r w:rsidR="00FF69A6">
        <w:t>New Zealand</w:t>
      </w:r>
      <w:r w:rsidR="0054373E">
        <w:t>, it</w:t>
      </w:r>
      <w:r w:rsidR="00FF69A6">
        <w:t xml:space="preserve"> has its average temperature marked around 20 degrees Celsius</w:t>
      </w:r>
      <w:r w:rsidR="00A54329">
        <w:t xml:space="preserve"> for the documented winter given</w:t>
      </w:r>
      <w:r w:rsidR="0081046A">
        <w:t xml:space="preserve">. From the map on globe.gov </w:t>
      </w:r>
      <w:r w:rsidR="00921E03">
        <w:t>website, it is</w:t>
      </w:r>
      <w:r w:rsidR="0081046A">
        <w:t xml:space="preserve"> see</w:t>
      </w:r>
      <w:r w:rsidR="00921E03">
        <w:t>n</w:t>
      </w:r>
      <w:r w:rsidR="0081046A">
        <w:t xml:space="preserve"> that </w:t>
      </w:r>
      <w:r w:rsidR="00DD62CE">
        <w:t xml:space="preserve">New Zealand </w:t>
      </w:r>
      <w:r w:rsidR="0081046A">
        <w:t xml:space="preserve">is near Australia, which has </w:t>
      </w:r>
      <w:r w:rsidR="000D2A90">
        <w:t xml:space="preserve">heated </w:t>
      </w:r>
      <w:r w:rsidR="0081046A">
        <w:t xml:space="preserve">deserts – thus being capable of hitting </w:t>
      </w:r>
      <w:r w:rsidR="00A54329">
        <w:t xml:space="preserve">those </w:t>
      </w:r>
      <w:r w:rsidR="0081046A">
        <w:t>high</w:t>
      </w:r>
      <w:r w:rsidR="000D2A90">
        <w:t>er</w:t>
      </w:r>
      <w:r w:rsidR="0081046A">
        <w:t xml:space="preserve"> temperatures.</w:t>
      </w:r>
      <w:r w:rsidR="00277D84">
        <w:t xml:space="preserve"> The maximum and minimum values </w:t>
      </w:r>
      <w:r w:rsidR="000D2A90">
        <w:t xml:space="preserve">can </w:t>
      </w:r>
      <w:r w:rsidR="00277D84">
        <w:t>tell the temperature range of that location</w:t>
      </w:r>
      <w:r w:rsidR="00CF76B1">
        <w:t xml:space="preserve">. </w:t>
      </w:r>
      <w:r w:rsidR="00DD62CE">
        <w:t>For example</w:t>
      </w:r>
      <w:r w:rsidR="00277D84">
        <w:t>,</w:t>
      </w:r>
      <w:r w:rsidR="00DD62CE">
        <w:t xml:space="preserve"> t</w:t>
      </w:r>
      <w:r w:rsidR="00CF76B1">
        <w:t xml:space="preserve">he graph tells us that Florida’s range of temperature is quite varied. </w:t>
      </w:r>
      <w:r w:rsidR="00DD62CE">
        <w:t>From the graph Florida’s</w:t>
      </w:r>
      <w:r w:rsidR="00CF76B1">
        <w:t xml:space="preserve"> maximum value is about 5</w:t>
      </w:r>
      <w:r w:rsidR="00B12607" w:rsidRPr="00B12607">
        <w:rPr>
          <w:rFonts w:ascii="Arial" w:hAnsi="Arial" w:cs="Arial"/>
        </w:rPr>
        <w:t xml:space="preserve">° </w:t>
      </w:r>
      <w:r w:rsidR="00B12607" w:rsidRPr="00B12607">
        <w:rPr>
          <w:rFonts w:cs="Arial"/>
        </w:rPr>
        <w:t xml:space="preserve">C and its minimum is </w:t>
      </w:r>
      <w:r w:rsidR="00EA691B">
        <w:rPr>
          <w:rFonts w:cs="Arial"/>
        </w:rPr>
        <w:t xml:space="preserve">about </w:t>
      </w:r>
      <w:r w:rsidR="00B12607" w:rsidRPr="00B12607">
        <w:rPr>
          <w:rFonts w:cs="Arial"/>
        </w:rPr>
        <w:t>-15° C. Again</w:t>
      </w:r>
      <w:r w:rsidR="00EA691B">
        <w:rPr>
          <w:rFonts w:cs="Arial"/>
        </w:rPr>
        <w:t>,</w:t>
      </w:r>
      <w:r w:rsidR="00B12607" w:rsidRPr="00B12607">
        <w:rPr>
          <w:rFonts w:cs="Arial"/>
        </w:rPr>
        <w:t xml:space="preserve"> the trend lines helped quite a bit to determine the main points of </w:t>
      </w:r>
      <w:r w:rsidR="00277D84">
        <w:rPr>
          <w:rFonts w:cs="Arial"/>
        </w:rPr>
        <w:t xml:space="preserve">the </w:t>
      </w:r>
      <w:r w:rsidR="00B12607" w:rsidRPr="00B12607">
        <w:rPr>
          <w:rFonts w:cs="Arial"/>
        </w:rPr>
        <w:t xml:space="preserve">data. There are not a lot of outliers in this </w:t>
      </w:r>
      <w:r w:rsidR="005D7B90">
        <w:rPr>
          <w:rFonts w:cs="Arial"/>
        </w:rPr>
        <w:t>graph</w:t>
      </w:r>
      <w:bookmarkStart w:id="0" w:name="_GoBack"/>
      <w:bookmarkEnd w:id="0"/>
      <w:r w:rsidR="000D2A90">
        <w:rPr>
          <w:rFonts w:cs="Arial"/>
        </w:rPr>
        <w:t>,</w:t>
      </w:r>
      <w:r w:rsidR="00B12607" w:rsidRPr="00B12607">
        <w:rPr>
          <w:rFonts w:cs="Arial"/>
        </w:rPr>
        <w:t xml:space="preserve"> though we observe something very interesting – the </w:t>
      </w:r>
      <w:r w:rsidR="005D7B90">
        <w:rPr>
          <w:rFonts w:cs="Arial"/>
        </w:rPr>
        <w:t xml:space="preserve">recorded temperature </w:t>
      </w:r>
      <w:r w:rsidR="00B12607" w:rsidRPr="00B12607">
        <w:rPr>
          <w:rFonts w:cs="Arial"/>
        </w:rPr>
        <w:t>spikes that somewhat line up around the 28</w:t>
      </w:r>
      <w:r w:rsidR="00B12607" w:rsidRPr="00B12607">
        <w:rPr>
          <w:rFonts w:cs="Arial"/>
          <w:vertAlign w:val="superscript"/>
        </w:rPr>
        <w:t>th</w:t>
      </w:r>
      <w:r w:rsidR="00B12607" w:rsidRPr="00B12607">
        <w:rPr>
          <w:rFonts w:cs="Arial"/>
        </w:rPr>
        <w:t xml:space="preserve"> of January. These similarities </w:t>
      </w:r>
      <w:r w:rsidR="00B12607">
        <w:rPr>
          <w:rFonts w:cs="Arial"/>
        </w:rPr>
        <w:t xml:space="preserve">may suggest something that happened internationally, worldwide – which </w:t>
      </w:r>
      <w:r w:rsidR="00EA691B">
        <w:rPr>
          <w:rFonts w:cs="Arial"/>
        </w:rPr>
        <w:t xml:space="preserve">was </w:t>
      </w:r>
      <w:r w:rsidR="00B12607">
        <w:rPr>
          <w:rFonts w:cs="Arial"/>
        </w:rPr>
        <w:t>related to temperature</w:t>
      </w:r>
      <w:r w:rsidR="000D2A90">
        <w:rPr>
          <w:rFonts w:cs="Arial"/>
        </w:rPr>
        <w:t xml:space="preserve"> readings</w:t>
      </w:r>
      <w:r w:rsidR="00B12607">
        <w:rPr>
          <w:rFonts w:cs="Arial"/>
        </w:rPr>
        <w:t>.</w:t>
      </w:r>
      <w:r w:rsidR="00277D84">
        <w:rPr>
          <w:rFonts w:cs="Arial"/>
        </w:rPr>
        <w:t xml:space="preserve"> </w:t>
      </w:r>
      <w:r w:rsidR="00EA691B">
        <w:rPr>
          <w:rFonts w:cs="Arial"/>
        </w:rPr>
        <w:t>Now c</w:t>
      </w:r>
      <w:r w:rsidR="00277D84">
        <w:rPr>
          <w:rFonts w:cs="Arial"/>
        </w:rPr>
        <w:t>oncerning errors, which</w:t>
      </w:r>
      <w:r w:rsidR="002344B4">
        <w:rPr>
          <w:rFonts w:cs="Arial"/>
        </w:rPr>
        <w:t xml:space="preserve"> </w:t>
      </w:r>
      <w:r w:rsidR="00277D84">
        <w:rPr>
          <w:rFonts w:cs="Arial"/>
        </w:rPr>
        <w:t xml:space="preserve">the </w:t>
      </w:r>
      <w:r w:rsidR="00EA691B">
        <w:rPr>
          <w:rFonts w:cs="Arial"/>
        </w:rPr>
        <w:t xml:space="preserve">graph may contain, </w:t>
      </w:r>
      <w:r w:rsidR="002344B4">
        <w:rPr>
          <w:rFonts w:cs="Arial"/>
        </w:rPr>
        <w:t>are the errors that occurred as the people took their measurements. Some may have put down the wrong number maybe even the wrong unit of measure</w:t>
      </w:r>
      <w:r w:rsidR="00277D84">
        <w:rPr>
          <w:rFonts w:cs="Arial"/>
        </w:rPr>
        <w:t xml:space="preserve"> in the wrong place</w:t>
      </w:r>
      <w:r w:rsidR="002344B4">
        <w:rPr>
          <w:rFonts w:cs="Arial"/>
        </w:rPr>
        <w:t xml:space="preserve">. </w:t>
      </w:r>
      <w:r w:rsidR="00277D84">
        <w:rPr>
          <w:rFonts w:cs="Arial"/>
        </w:rPr>
        <w:t>Significantly, m</w:t>
      </w:r>
      <w:r w:rsidR="00067801">
        <w:rPr>
          <w:rFonts w:cs="Arial"/>
        </w:rPr>
        <w:t>uch has been learned from producing this graph and report, from the</w:t>
      </w:r>
      <w:r w:rsidR="00A917FE">
        <w:rPr>
          <w:rFonts w:cs="Arial"/>
        </w:rPr>
        <w:t xml:space="preserve"> good</w:t>
      </w:r>
      <w:r w:rsidR="00433369">
        <w:rPr>
          <w:rFonts w:cs="Arial"/>
        </w:rPr>
        <w:t xml:space="preserve"> value</w:t>
      </w:r>
      <w:r w:rsidR="00067801">
        <w:rPr>
          <w:rFonts w:cs="Arial"/>
        </w:rPr>
        <w:t xml:space="preserve"> of having correct and logical data</w:t>
      </w:r>
      <w:r w:rsidR="00F3553A">
        <w:rPr>
          <w:rFonts w:cs="Arial"/>
        </w:rPr>
        <w:t>,</w:t>
      </w:r>
      <w:r w:rsidR="00EA691B">
        <w:rPr>
          <w:rFonts w:cs="Arial"/>
        </w:rPr>
        <w:t xml:space="preserve"> to the diverse temperature ranges found </w:t>
      </w:r>
      <w:r w:rsidR="0005085C">
        <w:rPr>
          <w:rFonts w:cs="Arial"/>
        </w:rPr>
        <w:t>in different parts of the world.</w:t>
      </w:r>
    </w:p>
    <w:sectPr w:rsidR="006B58CA" w:rsidRPr="00B12607" w:rsidSect="00E25B3D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96" w:rsidRDefault="001E6B96" w:rsidP="00BB1E01">
      <w:pPr>
        <w:spacing w:after="0" w:line="240" w:lineRule="auto"/>
      </w:pPr>
      <w:r>
        <w:separator/>
      </w:r>
    </w:p>
  </w:endnote>
  <w:endnote w:type="continuationSeparator" w:id="0">
    <w:p w:rsidR="001E6B96" w:rsidRDefault="001E6B96" w:rsidP="00BB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96" w:rsidRDefault="001E6B96" w:rsidP="00BB1E01">
      <w:pPr>
        <w:spacing w:after="0" w:line="240" w:lineRule="auto"/>
      </w:pPr>
      <w:r>
        <w:separator/>
      </w:r>
    </w:p>
  </w:footnote>
  <w:footnote w:type="continuationSeparator" w:id="0">
    <w:p w:rsidR="001E6B96" w:rsidRDefault="001E6B96" w:rsidP="00B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AB" w:rsidRDefault="001326A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AB" w:rsidRDefault="00006CB4">
    <w:pPr>
      <w:pStyle w:val="Header"/>
    </w:pPr>
    <w:r>
      <w:t>John Bolla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01"/>
    <w:rsid w:val="00006CB4"/>
    <w:rsid w:val="0003505F"/>
    <w:rsid w:val="0005085C"/>
    <w:rsid w:val="00067801"/>
    <w:rsid w:val="00074011"/>
    <w:rsid w:val="000D2A90"/>
    <w:rsid w:val="001119D6"/>
    <w:rsid w:val="001326AB"/>
    <w:rsid w:val="001C3CE7"/>
    <w:rsid w:val="001D19D8"/>
    <w:rsid w:val="001E4D19"/>
    <w:rsid w:val="001E6B96"/>
    <w:rsid w:val="002162B5"/>
    <w:rsid w:val="002344B4"/>
    <w:rsid w:val="002578DD"/>
    <w:rsid w:val="00277D84"/>
    <w:rsid w:val="002B528E"/>
    <w:rsid w:val="00342CAB"/>
    <w:rsid w:val="0035477F"/>
    <w:rsid w:val="00395EF5"/>
    <w:rsid w:val="00433369"/>
    <w:rsid w:val="00482036"/>
    <w:rsid w:val="00531B0F"/>
    <w:rsid w:val="0054373E"/>
    <w:rsid w:val="0059459A"/>
    <w:rsid w:val="005B2818"/>
    <w:rsid w:val="005D7B90"/>
    <w:rsid w:val="00682D33"/>
    <w:rsid w:val="006B016B"/>
    <w:rsid w:val="006B394E"/>
    <w:rsid w:val="006B58CA"/>
    <w:rsid w:val="007E4574"/>
    <w:rsid w:val="0081046A"/>
    <w:rsid w:val="00921E03"/>
    <w:rsid w:val="009B28E2"/>
    <w:rsid w:val="00A54329"/>
    <w:rsid w:val="00A917FE"/>
    <w:rsid w:val="00B12607"/>
    <w:rsid w:val="00B24F42"/>
    <w:rsid w:val="00BB1E01"/>
    <w:rsid w:val="00BB1E4E"/>
    <w:rsid w:val="00BC5EC2"/>
    <w:rsid w:val="00C1483A"/>
    <w:rsid w:val="00C3540D"/>
    <w:rsid w:val="00C64618"/>
    <w:rsid w:val="00CC0816"/>
    <w:rsid w:val="00CD73A0"/>
    <w:rsid w:val="00CF76B1"/>
    <w:rsid w:val="00D02BE7"/>
    <w:rsid w:val="00DA0895"/>
    <w:rsid w:val="00DA5934"/>
    <w:rsid w:val="00DB5BAA"/>
    <w:rsid w:val="00DD62CE"/>
    <w:rsid w:val="00E026D9"/>
    <w:rsid w:val="00E25B3D"/>
    <w:rsid w:val="00E35702"/>
    <w:rsid w:val="00EA691B"/>
    <w:rsid w:val="00EB143C"/>
    <w:rsid w:val="00EE2588"/>
    <w:rsid w:val="00F3553A"/>
    <w:rsid w:val="00F52658"/>
    <w:rsid w:val="00FA6325"/>
    <w:rsid w:val="00FB683D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3809F-4D50-4C4A-B9E8-379A950A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01"/>
  </w:style>
  <w:style w:type="paragraph" w:styleId="Footer">
    <w:name w:val="footer"/>
    <w:basedOn w:val="Normal"/>
    <w:link w:val="FooterChar"/>
    <w:uiPriority w:val="99"/>
    <w:unhideWhenUsed/>
    <w:rsid w:val="00BB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01"/>
  </w:style>
  <w:style w:type="paragraph" w:styleId="BalloonText">
    <w:name w:val="Balloon Text"/>
    <w:basedOn w:val="Normal"/>
    <w:link w:val="BalloonTextChar"/>
    <w:uiPriority w:val="99"/>
    <w:semiHidden/>
    <w:unhideWhenUsed/>
    <w:rsid w:val="00B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Global Temperature Visualization + Trend Lines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'[Copy of Global Visualization Data 2 IMPROVED.xlsx]Sheet2'!$B$3</c:f>
              <c:strCache>
                <c:ptCount val="1"/>
                <c:pt idx="0">
                  <c:v>Benicia Temp 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'[Copy of Global Visualization Data 2 IMPROVED.xlsx]Sheet2'!$A$4:$A$69</c:f>
              <c:numCache>
                <c:formatCode>d\-mmm</c:formatCode>
                <c:ptCount val="66"/>
                <c:pt idx="0">
                  <c:v>41976</c:v>
                </c:pt>
                <c:pt idx="1">
                  <c:v>41977</c:v>
                </c:pt>
                <c:pt idx="2">
                  <c:v>41978</c:v>
                </c:pt>
                <c:pt idx="3">
                  <c:v>41979</c:v>
                </c:pt>
                <c:pt idx="4">
                  <c:v>41980</c:v>
                </c:pt>
                <c:pt idx="5">
                  <c:v>41981</c:v>
                </c:pt>
                <c:pt idx="6">
                  <c:v>41982</c:v>
                </c:pt>
                <c:pt idx="7">
                  <c:v>41983</c:v>
                </c:pt>
                <c:pt idx="8">
                  <c:v>41984</c:v>
                </c:pt>
                <c:pt idx="9">
                  <c:v>41985</c:v>
                </c:pt>
                <c:pt idx="10">
                  <c:v>41986</c:v>
                </c:pt>
                <c:pt idx="11">
                  <c:v>41987</c:v>
                </c:pt>
                <c:pt idx="12">
                  <c:v>41988</c:v>
                </c:pt>
                <c:pt idx="13">
                  <c:v>41989</c:v>
                </c:pt>
                <c:pt idx="14">
                  <c:v>41990</c:v>
                </c:pt>
                <c:pt idx="15">
                  <c:v>41991</c:v>
                </c:pt>
                <c:pt idx="16">
                  <c:v>41992</c:v>
                </c:pt>
                <c:pt idx="17">
                  <c:v>41993</c:v>
                </c:pt>
                <c:pt idx="18">
                  <c:v>41994</c:v>
                </c:pt>
                <c:pt idx="19">
                  <c:v>41995</c:v>
                </c:pt>
                <c:pt idx="20">
                  <c:v>41996</c:v>
                </c:pt>
                <c:pt idx="21">
                  <c:v>41997</c:v>
                </c:pt>
                <c:pt idx="22">
                  <c:v>41998</c:v>
                </c:pt>
                <c:pt idx="23">
                  <c:v>41999</c:v>
                </c:pt>
                <c:pt idx="24">
                  <c:v>42000</c:v>
                </c:pt>
                <c:pt idx="25">
                  <c:v>42001</c:v>
                </c:pt>
                <c:pt idx="26">
                  <c:v>42002</c:v>
                </c:pt>
                <c:pt idx="27">
                  <c:v>42003</c:v>
                </c:pt>
                <c:pt idx="28">
                  <c:v>42004</c:v>
                </c:pt>
                <c:pt idx="29">
                  <c:v>42005</c:v>
                </c:pt>
                <c:pt idx="30">
                  <c:v>42006</c:v>
                </c:pt>
                <c:pt idx="31">
                  <c:v>42007</c:v>
                </c:pt>
                <c:pt idx="32">
                  <c:v>42008</c:v>
                </c:pt>
                <c:pt idx="33">
                  <c:v>42009</c:v>
                </c:pt>
                <c:pt idx="34">
                  <c:v>42010</c:v>
                </c:pt>
                <c:pt idx="35">
                  <c:v>42011</c:v>
                </c:pt>
                <c:pt idx="36">
                  <c:v>42012</c:v>
                </c:pt>
                <c:pt idx="37">
                  <c:v>42013</c:v>
                </c:pt>
                <c:pt idx="38">
                  <c:v>42014</c:v>
                </c:pt>
                <c:pt idx="39">
                  <c:v>42015</c:v>
                </c:pt>
                <c:pt idx="40">
                  <c:v>42016</c:v>
                </c:pt>
                <c:pt idx="41">
                  <c:v>42017</c:v>
                </c:pt>
                <c:pt idx="42">
                  <c:v>42018</c:v>
                </c:pt>
                <c:pt idx="43">
                  <c:v>42019</c:v>
                </c:pt>
                <c:pt idx="44">
                  <c:v>42020</c:v>
                </c:pt>
                <c:pt idx="45">
                  <c:v>42021</c:v>
                </c:pt>
                <c:pt idx="46">
                  <c:v>42022</c:v>
                </c:pt>
                <c:pt idx="47">
                  <c:v>42023</c:v>
                </c:pt>
                <c:pt idx="48">
                  <c:v>42024</c:v>
                </c:pt>
                <c:pt idx="49">
                  <c:v>42025</c:v>
                </c:pt>
                <c:pt idx="50">
                  <c:v>42026</c:v>
                </c:pt>
                <c:pt idx="51">
                  <c:v>42027</c:v>
                </c:pt>
                <c:pt idx="52">
                  <c:v>42028</c:v>
                </c:pt>
                <c:pt idx="53">
                  <c:v>42029</c:v>
                </c:pt>
                <c:pt idx="54">
                  <c:v>42030</c:v>
                </c:pt>
                <c:pt idx="55">
                  <c:v>42031</c:v>
                </c:pt>
                <c:pt idx="56">
                  <c:v>42032</c:v>
                </c:pt>
                <c:pt idx="57">
                  <c:v>42033</c:v>
                </c:pt>
                <c:pt idx="58">
                  <c:v>42034</c:v>
                </c:pt>
                <c:pt idx="59">
                  <c:v>42035</c:v>
                </c:pt>
                <c:pt idx="60">
                  <c:v>42036</c:v>
                </c:pt>
                <c:pt idx="61">
                  <c:v>42037</c:v>
                </c:pt>
                <c:pt idx="62">
                  <c:v>42038</c:v>
                </c:pt>
                <c:pt idx="63">
                  <c:v>42039</c:v>
                </c:pt>
                <c:pt idx="64">
                  <c:v>42040</c:v>
                </c:pt>
                <c:pt idx="65">
                  <c:v>42041</c:v>
                </c:pt>
              </c:numCache>
            </c:numRef>
          </c:cat>
          <c:val>
            <c:numRef>
              <c:f>'[Copy of Global Visualization Data 2 IMPROVED.xlsx]Sheet2'!$B$4:$B$69</c:f>
              <c:numCache>
                <c:formatCode>0.0</c:formatCode>
                <c:ptCount val="66"/>
                <c:pt idx="0">
                  <c:v>12.582000000000001</c:v>
                </c:pt>
                <c:pt idx="1">
                  <c:v>11.297000000000001</c:v>
                </c:pt>
                <c:pt idx="2">
                  <c:v>10.516</c:v>
                </c:pt>
                <c:pt idx="3">
                  <c:v>19.364999999999998</c:v>
                </c:pt>
                <c:pt idx="4">
                  <c:v>8.891</c:v>
                </c:pt>
                <c:pt idx="5">
                  <c:v>7.9949999999999992</c:v>
                </c:pt>
                <c:pt idx="6">
                  <c:v>8.742222222222221</c:v>
                </c:pt>
                <c:pt idx="7">
                  <c:v>9.3611111111111125</c:v>
                </c:pt>
                <c:pt idx="8">
                  <c:v>11.393888888888888</c:v>
                </c:pt>
                <c:pt idx="9">
                  <c:v>12.097777777777779</c:v>
                </c:pt>
                <c:pt idx="10">
                  <c:v>13.593888888888889</c:v>
                </c:pt>
                <c:pt idx="11">
                  <c:v>13.83388888888889</c:v>
                </c:pt>
                <c:pt idx="12">
                  <c:v>14.217777777777776</c:v>
                </c:pt>
                <c:pt idx="13">
                  <c:v>16.201111111111111</c:v>
                </c:pt>
                <c:pt idx="14">
                  <c:v>14.122222222222224</c:v>
                </c:pt>
                <c:pt idx="15">
                  <c:v>14.193888888888889</c:v>
                </c:pt>
                <c:pt idx="16">
                  <c:v>15.67611111111111</c:v>
                </c:pt>
                <c:pt idx="17">
                  <c:v>15.127222222222221</c:v>
                </c:pt>
                <c:pt idx="18">
                  <c:v>13.448888888888888</c:v>
                </c:pt>
                <c:pt idx="19">
                  <c:v>13.809999999999999</c:v>
                </c:pt>
                <c:pt idx="20">
                  <c:v>15.747777777777776</c:v>
                </c:pt>
                <c:pt idx="21">
                  <c:v>16.724999999999998</c:v>
                </c:pt>
                <c:pt idx="22">
                  <c:v>13.690000000000001</c:v>
                </c:pt>
                <c:pt idx="23">
                  <c:v>15.46111111111111</c:v>
                </c:pt>
                <c:pt idx="24">
                  <c:v>13.377222222222223</c:v>
                </c:pt>
                <c:pt idx="25">
                  <c:v>16.63</c:v>
                </c:pt>
                <c:pt idx="26">
                  <c:v>17.011111111111109</c:v>
                </c:pt>
                <c:pt idx="27">
                  <c:v>15.67611111111111</c:v>
                </c:pt>
                <c:pt idx="28">
                  <c:v>13.472777777777775</c:v>
                </c:pt>
                <c:pt idx="29">
                  <c:v>15.031111111111109</c:v>
                </c:pt>
                <c:pt idx="30">
                  <c:v>15.938888888888886</c:v>
                </c:pt>
                <c:pt idx="31">
                  <c:v>15.342222222222222</c:v>
                </c:pt>
                <c:pt idx="32">
                  <c:v>18.176111111111108</c:v>
                </c:pt>
                <c:pt idx="33">
                  <c:v>17.582222222222224</c:v>
                </c:pt>
                <c:pt idx="34">
                  <c:v>13.617777777777778</c:v>
                </c:pt>
                <c:pt idx="35">
                  <c:v>13.977777777777776</c:v>
                </c:pt>
                <c:pt idx="36">
                  <c:v>14.552777777777777</c:v>
                </c:pt>
                <c:pt idx="37">
                  <c:v>15.508888888888887</c:v>
                </c:pt>
                <c:pt idx="38">
                  <c:v>15.747777777777776</c:v>
                </c:pt>
                <c:pt idx="39">
                  <c:v>13.546111111111113</c:v>
                </c:pt>
                <c:pt idx="40">
                  <c:v>14.266111111111112</c:v>
                </c:pt>
                <c:pt idx="41">
                  <c:v>15.867222222222221</c:v>
                </c:pt>
                <c:pt idx="42">
                  <c:v>15.89111111111111</c:v>
                </c:pt>
                <c:pt idx="43">
                  <c:v>18.271111111111114</c:v>
                </c:pt>
                <c:pt idx="44">
                  <c:v>18.437777777777779</c:v>
                </c:pt>
                <c:pt idx="45">
                  <c:v>16.533888888888889</c:v>
                </c:pt>
                <c:pt idx="46">
                  <c:v>17.343888888888888</c:v>
                </c:pt>
                <c:pt idx="47">
                  <c:v>16.93888888888889</c:v>
                </c:pt>
                <c:pt idx="48">
                  <c:v>18.081111111111113</c:v>
                </c:pt>
                <c:pt idx="49">
                  <c:v>16.296111111111109</c:v>
                </c:pt>
                <c:pt idx="50">
                  <c:v>18.24722222222222</c:v>
                </c:pt>
                <c:pt idx="51">
                  <c:v>19.175000000000001</c:v>
                </c:pt>
                <c:pt idx="52">
                  <c:v>22.297777777777775</c:v>
                </c:pt>
                <c:pt idx="53">
                  <c:v>20.554999999999996</c:v>
                </c:pt>
                <c:pt idx="54">
                  <c:v>18.176111111111108</c:v>
                </c:pt>
                <c:pt idx="55">
                  <c:v>14.290000000000001</c:v>
                </c:pt>
                <c:pt idx="56">
                  <c:v>16.915000000000003</c:v>
                </c:pt>
                <c:pt idx="57">
                  <c:v>16.93888888888889</c:v>
                </c:pt>
                <c:pt idx="58">
                  <c:v>15.652222222222221</c:v>
                </c:pt>
                <c:pt idx="59">
                  <c:v>14.697222222222221</c:v>
                </c:pt>
                <c:pt idx="60">
                  <c:v>13.522222222222224</c:v>
                </c:pt>
                <c:pt idx="61">
                  <c:v>7.6699999999999982</c:v>
                </c:pt>
                <c:pt idx="62">
                  <c:v>12.049999999999999</c:v>
                </c:pt>
                <c:pt idx="63">
                  <c:v>12.533888888888889</c:v>
                </c:pt>
                <c:pt idx="64">
                  <c:v>12.508888888888887</c:v>
                </c:pt>
                <c:pt idx="65">
                  <c:v>10.516111111111112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'[Copy of Global Visualization Data 2 IMPROVED.xlsx]Sheet2'!$C$3</c:f>
              <c:strCache>
                <c:ptCount val="1"/>
                <c:pt idx="0">
                  <c:v>SA Temp 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'[Copy of Global Visualization Data 2 IMPROVED.xlsx]Sheet2'!$A$4:$A$69</c:f>
              <c:numCache>
                <c:formatCode>d\-mmm</c:formatCode>
                <c:ptCount val="66"/>
                <c:pt idx="0">
                  <c:v>41976</c:v>
                </c:pt>
                <c:pt idx="1">
                  <c:v>41977</c:v>
                </c:pt>
                <c:pt idx="2">
                  <c:v>41978</c:v>
                </c:pt>
                <c:pt idx="3">
                  <c:v>41979</c:v>
                </c:pt>
                <c:pt idx="4">
                  <c:v>41980</c:v>
                </c:pt>
                <c:pt idx="5">
                  <c:v>41981</c:v>
                </c:pt>
                <c:pt idx="6">
                  <c:v>41982</c:v>
                </c:pt>
                <c:pt idx="7">
                  <c:v>41983</c:v>
                </c:pt>
                <c:pt idx="8">
                  <c:v>41984</c:v>
                </c:pt>
                <c:pt idx="9">
                  <c:v>41985</c:v>
                </c:pt>
                <c:pt idx="10">
                  <c:v>41986</c:v>
                </c:pt>
                <c:pt idx="11">
                  <c:v>41987</c:v>
                </c:pt>
                <c:pt idx="12">
                  <c:v>41988</c:v>
                </c:pt>
                <c:pt idx="13">
                  <c:v>41989</c:v>
                </c:pt>
                <c:pt idx="14">
                  <c:v>41990</c:v>
                </c:pt>
                <c:pt idx="15">
                  <c:v>41991</c:v>
                </c:pt>
                <c:pt idx="16">
                  <c:v>41992</c:v>
                </c:pt>
                <c:pt idx="17">
                  <c:v>41993</c:v>
                </c:pt>
                <c:pt idx="18">
                  <c:v>41994</c:v>
                </c:pt>
                <c:pt idx="19">
                  <c:v>41995</c:v>
                </c:pt>
                <c:pt idx="20">
                  <c:v>41996</c:v>
                </c:pt>
                <c:pt idx="21">
                  <c:v>41997</c:v>
                </c:pt>
                <c:pt idx="22">
                  <c:v>41998</c:v>
                </c:pt>
                <c:pt idx="23">
                  <c:v>41999</c:v>
                </c:pt>
                <c:pt idx="24">
                  <c:v>42000</c:v>
                </c:pt>
                <c:pt idx="25">
                  <c:v>42001</c:v>
                </c:pt>
                <c:pt idx="26">
                  <c:v>42002</c:v>
                </c:pt>
                <c:pt idx="27">
                  <c:v>42003</c:v>
                </c:pt>
                <c:pt idx="28">
                  <c:v>42004</c:v>
                </c:pt>
                <c:pt idx="29">
                  <c:v>42005</c:v>
                </c:pt>
                <c:pt idx="30">
                  <c:v>42006</c:v>
                </c:pt>
                <c:pt idx="31">
                  <c:v>42007</c:v>
                </c:pt>
                <c:pt idx="32">
                  <c:v>42008</c:v>
                </c:pt>
                <c:pt idx="33">
                  <c:v>42009</c:v>
                </c:pt>
                <c:pt idx="34">
                  <c:v>42010</c:v>
                </c:pt>
                <c:pt idx="35">
                  <c:v>42011</c:v>
                </c:pt>
                <c:pt idx="36">
                  <c:v>42012</c:v>
                </c:pt>
                <c:pt idx="37">
                  <c:v>42013</c:v>
                </c:pt>
                <c:pt idx="38">
                  <c:v>42014</c:v>
                </c:pt>
                <c:pt idx="39">
                  <c:v>42015</c:v>
                </c:pt>
                <c:pt idx="40">
                  <c:v>42016</c:v>
                </c:pt>
                <c:pt idx="41">
                  <c:v>42017</c:v>
                </c:pt>
                <c:pt idx="42">
                  <c:v>42018</c:v>
                </c:pt>
                <c:pt idx="43">
                  <c:v>42019</c:v>
                </c:pt>
                <c:pt idx="44">
                  <c:v>42020</c:v>
                </c:pt>
                <c:pt idx="45">
                  <c:v>42021</c:v>
                </c:pt>
                <c:pt idx="46">
                  <c:v>42022</c:v>
                </c:pt>
                <c:pt idx="47">
                  <c:v>42023</c:v>
                </c:pt>
                <c:pt idx="48">
                  <c:v>42024</c:v>
                </c:pt>
                <c:pt idx="49">
                  <c:v>42025</c:v>
                </c:pt>
                <c:pt idx="50">
                  <c:v>42026</c:v>
                </c:pt>
                <c:pt idx="51">
                  <c:v>42027</c:v>
                </c:pt>
                <c:pt idx="52">
                  <c:v>42028</c:v>
                </c:pt>
                <c:pt idx="53">
                  <c:v>42029</c:v>
                </c:pt>
                <c:pt idx="54">
                  <c:v>42030</c:v>
                </c:pt>
                <c:pt idx="55">
                  <c:v>42031</c:v>
                </c:pt>
                <c:pt idx="56">
                  <c:v>42032</c:v>
                </c:pt>
                <c:pt idx="57">
                  <c:v>42033</c:v>
                </c:pt>
                <c:pt idx="58">
                  <c:v>42034</c:v>
                </c:pt>
                <c:pt idx="59">
                  <c:v>42035</c:v>
                </c:pt>
                <c:pt idx="60">
                  <c:v>42036</c:v>
                </c:pt>
                <c:pt idx="61">
                  <c:v>42037</c:v>
                </c:pt>
                <c:pt idx="62">
                  <c:v>42038</c:v>
                </c:pt>
                <c:pt idx="63">
                  <c:v>42039</c:v>
                </c:pt>
                <c:pt idx="64">
                  <c:v>42040</c:v>
                </c:pt>
                <c:pt idx="65">
                  <c:v>42041</c:v>
                </c:pt>
              </c:numCache>
            </c:numRef>
          </c:cat>
          <c:val>
            <c:numRef>
              <c:f>'[Copy of Global Visualization Data 2 IMPROVED.xlsx]Sheet2'!$C$4:$C$69</c:f>
              <c:numCache>
                <c:formatCode>General</c:formatCode>
                <c:ptCount val="66"/>
                <c:pt idx="0">
                  <c:v>21.3</c:v>
                </c:pt>
                <c:pt idx="1">
                  <c:v>21.8</c:v>
                </c:pt>
                <c:pt idx="2">
                  <c:v>20.2</c:v>
                </c:pt>
                <c:pt idx="5">
                  <c:v>19.5</c:v>
                </c:pt>
                <c:pt idx="6">
                  <c:v>19.8</c:v>
                </c:pt>
                <c:pt idx="7">
                  <c:v>19</c:v>
                </c:pt>
                <c:pt idx="8">
                  <c:v>16</c:v>
                </c:pt>
                <c:pt idx="10">
                  <c:v>17.899999999999999</c:v>
                </c:pt>
                <c:pt idx="13">
                  <c:v>19.3</c:v>
                </c:pt>
                <c:pt idx="14">
                  <c:v>19</c:v>
                </c:pt>
                <c:pt idx="15">
                  <c:v>19.7</c:v>
                </c:pt>
                <c:pt idx="16">
                  <c:v>18.7</c:v>
                </c:pt>
                <c:pt idx="20">
                  <c:v>9</c:v>
                </c:pt>
                <c:pt idx="22">
                  <c:v>11.8</c:v>
                </c:pt>
                <c:pt idx="41">
                  <c:v>18</c:v>
                </c:pt>
                <c:pt idx="42">
                  <c:v>21</c:v>
                </c:pt>
                <c:pt idx="43">
                  <c:v>24</c:v>
                </c:pt>
                <c:pt idx="54">
                  <c:v>21.5</c:v>
                </c:pt>
                <c:pt idx="55">
                  <c:v>19.600000000000001</c:v>
                </c:pt>
                <c:pt idx="56">
                  <c:v>19.3</c:v>
                </c:pt>
                <c:pt idx="57">
                  <c:v>18.7</c:v>
                </c:pt>
                <c:pt idx="61">
                  <c:v>18.7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'[Copy of Global Visualization Data 2 IMPROVED.xlsx]Sheet2'!$D$3</c:f>
              <c:strCache>
                <c:ptCount val="1"/>
                <c:pt idx="0">
                  <c:v>NZ Temp 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'[Copy of Global Visualization Data 2 IMPROVED.xlsx]Sheet2'!$A$4:$A$69</c:f>
              <c:numCache>
                <c:formatCode>d\-mmm</c:formatCode>
                <c:ptCount val="66"/>
                <c:pt idx="0">
                  <c:v>41976</c:v>
                </c:pt>
                <c:pt idx="1">
                  <c:v>41977</c:v>
                </c:pt>
                <c:pt idx="2">
                  <c:v>41978</c:v>
                </c:pt>
                <c:pt idx="3">
                  <c:v>41979</c:v>
                </c:pt>
                <c:pt idx="4">
                  <c:v>41980</c:v>
                </c:pt>
                <c:pt idx="5">
                  <c:v>41981</c:v>
                </c:pt>
                <c:pt idx="6">
                  <c:v>41982</c:v>
                </c:pt>
                <c:pt idx="7">
                  <c:v>41983</c:v>
                </c:pt>
                <c:pt idx="8">
                  <c:v>41984</c:v>
                </c:pt>
                <c:pt idx="9">
                  <c:v>41985</c:v>
                </c:pt>
                <c:pt idx="10">
                  <c:v>41986</c:v>
                </c:pt>
                <c:pt idx="11">
                  <c:v>41987</c:v>
                </c:pt>
                <c:pt idx="12">
                  <c:v>41988</c:v>
                </c:pt>
                <c:pt idx="13">
                  <c:v>41989</c:v>
                </c:pt>
                <c:pt idx="14">
                  <c:v>41990</c:v>
                </c:pt>
                <c:pt idx="15">
                  <c:v>41991</c:v>
                </c:pt>
                <c:pt idx="16">
                  <c:v>41992</c:v>
                </c:pt>
                <c:pt idx="17">
                  <c:v>41993</c:v>
                </c:pt>
                <c:pt idx="18">
                  <c:v>41994</c:v>
                </c:pt>
                <c:pt idx="19">
                  <c:v>41995</c:v>
                </c:pt>
                <c:pt idx="20">
                  <c:v>41996</c:v>
                </c:pt>
                <c:pt idx="21">
                  <c:v>41997</c:v>
                </c:pt>
                <c:pt idx="22">
                  <c:v>41998</c:v>
                </c:pt>
                <c:pt idx="23">
                  <c:v>41999</c:v>
                </c:pt>
                <c:pt idx="24">
                  <c:v>42000</c:v>
                </c:pt>
                <c:pt idx="25">
                  <c:v>42001</c:v>
                </c:pt>
                <c:pt idx="26">
                  <c:v>42002</c:v>
                </c:pt>
                <c:pt idx="27">
                  <c:v>42003</c:v>
                </c:pt>
                <c:pt idx="28">
                  <c:v>42004</c:v>
                </c:pt>
                <c:pt idx="29">
                  <c:v>42005</c:v>
                </c:pt>
                <c:pt idx="30">
                  <c:v>42006</c:v>
                </c:pt>
                <c:pt idx="31">
                  <c:v>42007</c:v>
                </c:pt>
                <c:pt idx="32">
                  <c:v>42008</c:v>
                </c:pt>
                <c:pt idx="33">
                  <c:v>42009</c:v>
                </c:pt>
                <c:pt idx="34">
                  <c:v>42010</c:v>
                </c:pt>
                <c:pt idx="35">
                  <c:v>42011</c:v>
                </c:pt>
                <c:pt idx="36">
                  <c:v>42012</c:v>
                </c:pt>
                <c:pt idx="37">
                  <c:v>42013</c:v>
                </c:pt>
                <c:pt idx="38">
                  <c:v>42014</c:v>
                </c:pt>
                <c:pt idx="39">
                  <c:v>42015</c:v>
                </c:pt>
                <c:pt idx="40">
                  <c:v>42016</c:v>
                </c:pt>
                <c:pt idx="41">
                  <c:v>42017</c:v>
                </c:pt>
                <c:pt idx="42">
                  <c:v>42018</c:v>
                </c:pt>
                <c:pt idx="43">
                  <c:v>42019</c:v>
                </c:pt>
                <c:pt idx="44">
                  <c:v>42020</c:v>
                </c:pt>
                <c:pt idx="45">
                  <c:v>42021</c:v>
                </c:pt>
                <c:pt idx="46">
                  <c:v>42022</c:v>
                </c:pt>
                <c:pt idx="47">
                  <c:v>42023</c:v>
                </c:pt>
                <c:pt idx="48">
                  <c:v>42024</c:v>
                </c:pt>
                <c:pt idx="49">
                  <c:v>42025</c:v>
                </c:pt>
                <c:pt idx="50">
                  <c:v>42026</c:v>
                </c:pt>
                <c:pt idx="51">
                  <c:v>42027</c:v>
                </c:pt>
                <c:pt idx="52">
                  <c:v>42028</c:v>
                </c:pt>
                <c:pt idx="53">
                  <c:v>42029</c:v>
                </c:pt>
                <c:pt idx="54">
                  <c:v>42030</c:v>
                </c:pt>
                <c:pt idx="55">
                  <c:v>42031</c:v>
                </c:pt>
                <c:pt idx="56">
                  <c:v>42032</c:v>
                </c:pt>
                <c:pt idx="57">
                  <c:v>42033</c:v>
                </c:pt>
                <c:pt idx="58">
                  <c:v>42034</c:v>
                </c:pt>
                <c:pt idx="59">
                  <c:v>42035</c:v>
                </c:pt>
                <c:pt idx="60">
                  <c:v>42036</c:v>
                </c:pt>
                <c:pt idx="61">
                  <c:v>42037</c:v>
                </c:pt>
                <c:pt idx="62">
                  <c:v>42038</c:v>
                </c:pt>
                <c:pt idx="63">
                  <c:v>42039</c:v>
                </c:pt>
                <c:pt idx="64">
                  <c:v>42040</c:v>
                </c:pt>
                <c:pt idx="65">
                  <c:v>42041</c:v>
                </c:pt>
              </c:numCache>
            </c:numRef>
          </c:cat>
          <c:val>
            <c:numRef>
              <c:f>'[Copy of Global Visualization Data 2 IMPROVED.xlsx]Sheet2'!$D$4:$D$69</c:f>
              <c:numCache>
                <c:formatCode>General</c:formatCode>
                <c:ptCount val="66"/>
                <c:pt idx="0">
                  <c:v>19.600000000000001</c:v>
                </c:pt>
                <c:pt idx="1">
                  <c:v>20.7</c:v>
                </c:pt>
                <c:pt idx="2">
                  <c:v>17.600000000000001</c:v>
                </c:pt>
                <c:pt idx="3">
                  <c:v>21.6</c:v>
                </c:pt>
                <c:pt idx="4">
                  <c:v>19.399999999999999</c:v>
                </c:pt>
                <c:pt idx="5">
                  <c:v>16.8</c:v>
                </c:pt>
                <c:pt idx="6">
                  <c:v>18.899999999999999</c:v>
                </c:pt>
                <c:pt idx="7">
                  <c:v>17.7</c:v>
                </c:pt>
                <c:pt idx="8">
                  <c:v>19.100000000000001</c:v>
                </c:pt>
                <c:pt idx="9">
                  <c:v>12.2</c:v>
                </c:pt>
                <c:pt idx="10">
                  <c:v>22.3</c:v>
                </c:pt>
                <c:pt idx="11">
                  <c:v>22.3</c:v>
                </c:pt>
                <c:pt idx="12">
                  <c:v>22.3</c:v>
                </c:pt>
                <c:pt idx="13">
                  <c:v>22.7</c:v>
                </c:pt>
                <c:pt idx="14">
                  <c:v>23</c:v>
                </c:pt>
                <c:pt idx="15">
                  <c:v>19.7</c:v>
                </c:pt>
                <c:pt idx="16">
                  <c:v>20.2</c:v>
                </c:pt>
                <c:pt idx="17">
                  <c:v>20.6</c:v>
                </c:pt>
                <c:pt idx="18">
                  <c:v>19.600000000000001</c:v>
                </c:pt>
                <c:pt idx="19">
                  <c:v>15.4</c:v>
                </c:pt>
                <c:pt idx="20">
                  <c:v>20.8</c:v>
                </c:pt>
                <c:pt idx="21">
                  <c:v>19.8</c:v>
                </c:pt>
                <c:pt idx="22">
                  <c:v>19.8</c:v>
                </c:pt>
                <c:pt idx="23">
                  <c:v>18.8</c:v>
                </c:pt>
                <c:pt idx="24">
                  <c:v>20.5</c:v>
                </c:pt>
                <c:pt idx="25">
                  <c:v>19.8</c:v>
                </c:pt>
                <c:pt idx="26">
                  <c:v>20.100000000000001</c:v>
                </c:pt>
                <c:pt idx="27">
                  <c:v>21.1</c:v>
                </c:pt>
                <c:pt idx="28">
                  <c:v>22.1</c:v>
                </c:pt>
                <c:pt idx="29">
                  <c:v>20.2</c:v>
                </c:pt>
                <c:pt idx="30">
                  <c:v>20.5</c:v>
                </c:pt>
                <c:pt idx="31">
                  <c:v>19.100000000000001</c:v>
                </c:pt>
                <c:pt idx="32">
                  <c:v>21.4</c:v>
                </c:pt>
                <c:pt idx="33">
                  <c:v>18.8</c:v>
                </c:pt>
                <c:pt idx="34">
                  <c:v>21.8</c:v>
                </c:pt>
                <c:pt idx="35">
                  <c:v>17.3</c:v>
                </c:pt>
                <c:pt idx="36">
                  <c:v>20.9</c:v>
                </c:pt>
                <c:pt idx="37">
                  <c:v>18.600000000000001</c:v>
                </c:pt>
                <c:pt idx="38">
                  <c:v>21.9</c:v>
                </c:pt>
                <c:pt idx="39">
                  <c:v>21.1</c:v>
                </c:pt>
                <c:pt idx="40">
                  <c:v>18.5</c:v>
                </c:pt>
                <c:pt idx="41">
                  <c:v>20.8</c:v>
                </c:pt>
                <c:pt idx="42">
                  <c:v>20.100000000000001</c:v>
                </c:pt>
                <c:pt idx="43">
                  <c:v>20.9</c:v>
                </c:pt>
                <c:pt idx="44">
                  <c:v>19.8</c:v>
                </c:pt>
                <c:pt idx="45">
                  <c:v>19.7</c:v>
                </c:pt>
                <c:pt idx="46">
                  <c:v>20.100000000000001</c:v>
                </c:pt>
                <c:pt idx="47">
                  <c:v>20.7</c:v>
                </c:pt>
                <c:pt idx="48">
                  <c:v>19.7</c:v>
                </c:pt>
                <c:pt idx="49">
                  <c:v>15</c:v>
                </c:pt>
                <c:pt idx="50">
                  <c:v>13.2</c:v>
                </c:pt>
                <c:pt idx="51">
                  <c:v>19.600000000000001</c:v>
                </c:pt>
                <c:pt idx="52">
                  <c:v>21.3</c:v>
                </c:pt>
                <c:pt idx="53">
                  <c:v>22.3</c:v>
                </c:pt>
                <c:pt idx="54">
                  <c:v>20.6</c:v>
                </c:pt>
                <c:pt idx="55">
                  <c:v>16.399999999999999</c:v>
                </c:pt>
                <c:pt idx="56">
                  <c:v>18.899999999999999</c:v>
                </c:pt>
                <c:pt idx="57">
                  <c:v>20</c:v>
                </c:pt>
                <c:pt idx="58">
                  <c:v>20.7</c:v>
                </c:pt>
                <c:pt idx="59">
                  <c:v>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'[Copy of Global Visualization Data 2 IMPROVED.xlsx]Sheet2'!$E$3</c:f>
              <c:strCache>
                <c:ptCount val="1"/>
                <c:pt idx="0">
                  <c:v>FL Temp C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'[Copy of Global Visualization Data 2 IMPROVED.xlsx]Sheet2'!$A$4:$A$69</c:f>
              <c:numCache>
                <c:formatCode>d\-mmm</c:formatCode>
                <c:ptCount val="66"/>
                <c:pt idx="0">
                  <c:v>41976</c:v>
                </c:pt>
                <c:pt idx="1">
                  <c:v>41977</c:v>
                </c:pt>
                <c:pt idx="2">
                  <c:v>41978</c:v>
                </c:pt>
                <c:pt idx="3">
                  <c:v>41979</c:v>
                </c:pt>
                <c:pt idx="4">
                  <c:v>41980</c:v>
                </c:pt>
                <c:pt idx="5">
                  <c:v>41981</c:v>
                </c:pt>
                <c:pt idx="6">
                  <c:v>41982</c:v>
                </c:pt>
                <c:pt idx="7">
                  <c:v>41983</c:v>
                </c:pt>
                <c:pt idx="8">
                  <c:v>41984</c:v>
                </c:pt>
                <c:pt idx="9">
                  <c:v>41985</c:v>
                </c:pt>
                <c:pt idx="10">
                  <c:v>41986</c:v>
                </c:pt>
                <c:pt idx="11">
                  <c:v>41987</c:v>
                </c:pt>
                <c:pt idx="12">
                  <c:v>41988</c:v>
                </c:pt>
                <c:pt idx="13">
                  <c:v>41989</c:v>
                </c:pt>
                <c:pt idx="14">
                  <c:v>41990</c:v>
                </c:pt>
                <c:pt idx="15">
                  <c:v>41991</c:v>
                </c:pt>
                <c:pt idx="16">
                  <c:v>41992</c:v>
                </c:pt>
                <c:pt idx="17">
                  <c:v>41993</c:v>
                </c:pt>
                <c:pt idx="18">
                  <c:v>41994</c:v>
                </c:pt>
                <c:pt idx="19">
                  <c:v>41995</c:v>
                </c:pt>
                <c:pt idx="20">
                  <c:v>41996</c:v>
                </c:pt>
                <c:pt idx="21">
                  <c:v>41997</c:v>
                </c:pt>
                <c:pt idx="22">
                  <c:v>41998</c:v>
                </c:pt>
                <c:pt idx="23">
                  <c:v>41999</c:v>
                </c:pt>
                <c:pt idx="24">
                  <c:v>42000</c:v>
                </c:pt>
                <c:pt idx="25">
                  <c:v>42001</c:v>
                </c:pt>
                <c:pt idx="26">
                  <c:v>42002</c:v>
                </c:pt>
                <c:pt idx="27">
                  <c:v>42003</c:v>
                </c:pt>
                <c:pt idx="28">
                  <c:v>42004</c:v>
                </c:pt>
                <c:pt idx="29">
                  <c:v>42005</c:v>
                </c:pt>
                <c:pt idx="30">
                  <c:v>42006</c:v>
                </c:pt>
                <c:pt idx="31">
                  <c:v>42007</c:v>
                </c:pt>
                <c:pt idx="32">
                  <c:v>42008</c:v>
                </c:pt>
                <c:pt idx="33">
                  <c:v>42009</c:v>
                </c:pt>
                <c:pt idx="34">
                  <c:v>42010</c:v>
                </c:pt>
                <c:pt idx="35">
                  <c:v>42011</c:v>
                </c:pt>
                <c:pt idx="36">
                  <c:v>42012</c:v>
                </c:pt>
                <c:pt idx="37">
                  <c:v>42013</c:v>
                </c:pt>
                <c:pt idx="38">
                  <c:v>42014</c:v>
                </c:pt>
                <c:pt idx="39">
                  <c:v>42015</c:v>
                </c:pt>
                <c:pt idx="40">
                  <c:v>42016</c:v>
                </c:pt>
                <c:pt idx="41">
                  <c:v>42017</c:v>
                </c:pt>
                <c:pt idx="42">
                  <c:v>42018</c:v>
                </c:pt>
                <c:pt idx="43">
                  <c:v>42019</c:v>
                </c:pt>
                <c:pt idx="44">
                  <c:v>42020</c:v>
                </c:pt>
                <c:pt idx="45">
                  <c:v>42021</c:v>
                </c:pt>
                <c:pt idx="46">
                  <c:v>42022</c:v>
                </c:pt>
                <c:pt idx="47">
                  <c:v>42023</c:v>
                </c:pt>
                <c:pt idx="48">
                  <c:v>42024</c:v>
                </c:pt>
                <c:pt idx="49">
                  <c:v>42025</c:v>
                </c:pt>
                <c:pt idx="50">
                  <c:v>42026</c:v>
                </c:pt>
                <c:pt idx="51">
                  <c:v>42027</c:v>
                </c:pt>
                <c:pt idx="52">
                  <c:v>42028</c:v>
                </c:pt>
                <c:pt idx="53">
                  <c:v>42029</c:v>
                </c:pt>
                <c:pt idx="54">
                  <c:v>42030</c:v>
                </c:pt>
                <c:pt idx="55">
                  <c:v>42031</c:v>
                </c:pt>
                <c:pt idx="56">
                  <c:v>42032</c:v>
                </c:pt>
                <c:pt idx="57">
                  <c:v>42033</c:v>
                </c:pt>
                <c:pt idx="58">
                  <c:v>42034</c:v>
                </c:pt>
                <c:pt idx="59">
                  <c:v>42035</c:v>
                </c:pt>
                <c:pt idx="60">
                  <c:v>42036</c:v>
                </c:pt>
                <c:pt idx="61">
                  <c:v>42037</c:v>
                </c:pt>
                <c:pt idx="62">
                  <c:v>42038</c:v>
                </c:pt>
                <c:pt idx="63">
                  <c:v>42039</c:v>
                </c:pt>
                <c:pt idx="64">
                  <c:v>42040</c:v>
                </c:pt>
                <c:pt idx="65">
                  <c:v>42041</c:v>
                </c:pt>
              </c:numCache>
            </c:numRef>
          </c:cat>
          <c:val>
            <c:numRef>
              <c:f>'[Copy of Global Visualization Data 2 IMPROVED.xlsx]Sheet2'!$E$4:$E$69</c:f>
              <c:numCache>
                <c:formatCode>General</c:formatCode>
                <c:ptCount val="66"/>
                <c:pt idx="0">
                  <c:v>2.4</c:v>
                </c:pt>
                <c:pt idx="1">
                  <c:v>-1.3</c:v>
                </c:pt>
                <c:pt idx="2">
                  <c:v>-0.5</c:v>
                </c:pt>
                <c:pt idx="3">
                  <c:v>0.9</c:v>
                </c:pt>
                <c:pt idx="4">
                  <c:v>-2.8</c:v>
                </c:pt>
                <c:pt idx="5">
                  <c:v>-5.7</c:v>
                </c:pt>
                <c:pt idx="6">
                  <c:v>-6.8</c:v>
                </c:pt>
                <c:pt idx="7">
                  <c:v>-6.4</c:v>
                </c:pt>
                <c:pt idx="8">
                  <c:v>4.0999999999999996</c:v>
                </c:pt>
                <c:pt idx="9">
                  <c:v>4.0999999999999996</c:v>
                </c:pt>
                <c:pt idx="10">
                  <c:v>-0.4</c:v>
                </c:pt>
                <c:pt idx="11">
                  <c:v>-6.6</c:v>
                </c:pt>
                <c:pt idx="12">
                  <c:v>-1.8</c:v>
                </c:pt>
                <c:pt idx="13">
                  <c:v>2.2000000000000002</c:v>
                </c:pt>
                <c:pt idx="14">
                  <c:v>3.4</c:v>
                </c:pt>
                <c:pt idx="15">
                  <c:v>0.5</c:v>
                </c:pt>
                <c:pt idx="16">
                  <c:v>1.4</c:v>
                </c:pt>
                <c:pt idx="17">
                  <c:v>1</c:v>
                </c:pt>
                <c:pt idx="18">
                  <c:v>1.9</c:v>
                </c:pt>
                <c:pt idx="19">
                  <c:v>4.8</c:v>
                </c:pt>
                <c:pt idx="20">
                  <c:v>3.2</c:v>
                </c:pt>
                <c:pt idx="21">
                  <c:v>1.8</c:v>
                </c:pt>
                <c:pt idx="22">
                  <c:v>5.2</c:v>
                </c:pt>
                <c:pt idx="23">
                  <c:v>5.5</c:v>
                </c:pt>
                <c:pt idx="24">
                  <c:v>2.7</c:v>
                </c:pt>
                <c:pt idx="25">
                  <c:v>5.0999999999999996</c:v>
                </c:pt>
                <c:pt idx="26">
                  <c:v>4.5999999999999996</c:v>
                </c:pt>
                <c:pt idx="27">
                  <c:v>3.5</c:v>
                </c:pt>
                <c:pt idx="28">
                  <c:v>2.1</c:v>
                </c:pt>
                <c:pt idx="29">
                  <c:v>4.3</c:v>
                </c:pt>
                <c:pt idx="30">
                  <c:v>0.7</c:v>
                </c:pt>
                <c:pt idx="31">
                  <c:v>-0.2</c:v>
                </c:pt>
                <c:pt idx="32">
                  <c:v>1</c:v>
                </c:pt>
                <c:pt idx="33">
                  <c:v>1.3</c:v>
                </c:pt>
                <c:pt idx="34">
                  <c:v>1.5</c:v>
                </c:pt>
                <c:pt idx="35">
                  <c:v>2.8</c:v>
                </c:pt>
                <c:pt idx="36">
                  <c:v>1.9</c:v>
                </c:pt>
                <c:pt idx="37">
                  <c:v>3.3</c:v>
                </c:pt>
                <c:pt idx="38">
                  <c:v>0.3</c:v>
                </c:pt>
                <c:pt idx="39">
                  <c:v>-8.1999999999999993</c:v>
                </c:pt>
                <c:pt idx="40">
                  <c:v>-11</c:v>
                </c:pt>
                <c:pt idx="41">
                  <c:v>-12.4</c:v>
                </c:pt>
                <c:pt idx="42">
                  <c:v>-11.7</c:v>
                </c:pt>
                <c:pt idx="43">
                  <c:v>-12.1</c:v>
                </c:pt>
                <c:pt idx="44">
                  <c:v>-14.4</c:v>
                </c:pt>
                <c:pt idx="45">
                  <c:v>-13.1</c:v>
                </c:pt>
                <c:pt idx="46">
                  <c:v>-17</c:v>
                </c:pt>
                <c:pt idx="47">
                  <c:v>-11.7</c:v>
                </c:pt>
                <c:pt idx="48">
                  <c:v>-13.9</c:v>
                </c:pt>
                <c:pt idx="49">
                  <c:v>-10.8</c:v>
                </c:pt>
                <c:pt idx="50">
                  <c:v>-12.7</c:v>
                </c:pt>
                <c:pt idx="51">
                  <c:v>-18.399999999999999</c:v>
                </c:pt>
                <c:pt idx="52">
                  <c:v>-18.899999999999999</c:v>
                </c:pt>
                <c:pt idx="53">
                  <c:v>-5</c:v>
                </c:pt>
                <c:pt idx="54">
                  <c:v>-6.7</c:v>
                </c:pt>
                <c:pt idx="55">
                  <c:v>-10.7</c:v>
                </c:pt>
                <c:pt idx="56">
                  <c:v>-11.5</c:v>
                </c:pt>
                <c:pt idx="57">
                  <c:v>-13.7</c:v>
                </c:pt>
                <c:pt idx="58">
                  <c:v>-13.7</c:v>
                </c:pt>
                <c:pt idx="59">
                  <c:v>-13.3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7415832"/>
        <c:axId val="257416224"/>
      </c:lineChart>
      <c:dateAx>
        <c:axId val="257415832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416224"/>
        <c:crossesAt val="-25"/>
        <c:auto val="1"/>
        <c:lblOffset val="100"/>
        <c:baseTimeUnit val="days"/>
      </c:dateAx>
      <c:valAx>
        <c:axId val="25741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</a:t>
                </a:r>
                <a:r>
                  <a:rPr lang="en-US" baseline="0"/>
                  <a:t> in Celsius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41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9014-4002-45FC-A4D8-F1279BC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Bolla</dc:creator>
  <cp:lastModifiedBy>Jacob</cp:lastModifiedBy>
  <cp:revision>54</cp:revision>
  <dcterms:created xsi:type="dcterms:W3CDTF">2014-02-18T21:53:00Z</dcterms:created>
  <dcterms:modified xsi:type="dcterms:W3CDTF">2014-02-26T03:31:00Z</dcterms:modified>
</cp:coreProperties>
</file>